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  <w:t xml:space="preserve">Пояснительная записка по ИТ</w:t>
      </w:r>
      <w:r>
        <w:rPr>
          <w:b/>
          <w:bCs/>
          <w:caps/>
          <w:sz w:val="28"/>
          <w:szCs w:val="28"/>
        </w:rPr>
      </w:r>
    </w:p>
    <w:p>
      <w:pPr>
        <w:ind w:left="283" w:right="283"/>
        <w:jc w:val="center"/>
        <w:spacing w:before="283"/>
        <w:rPr>
          <w:b/>
          <w:bCs/>
        </w:rPr>
      </w:pPr>
      <w:r>
        <w:rPr>
          <w:b/>
          <w:bCs/>
        </w:rPr>
        <w:t xml:space="preserve">Приобретение лицензий импортозамещенной системы резервного копирования</w:t>
      </w:r>
      <w:r>
        <w:rPr>
          <w:b/>
          <w:bCs/>
        </w:rPr>
      </w:r>
    </w:p>
    <w:p>
      <w:pPr>
        <w:jc w:val="center"/>
        <w:spacing w:before="113"/>
        <w:rPr>
          <w:b/>
          <w:bCs/>
        </w:rPr>
      </w:pPr>
      <w:r>
        <w:rPr>
          <w:b/>
          <w:bCs/>
        </w:rPr>
        <w:t xml:space="preserve">Код проекта - 15.01.10080</w:t>
      </w:r>
      <w:r>
        <w:rPr>
          <w:b/>
          <w:bCs/>
        </w:rPr>
      </w:r>
    </w:p>
    <w:p>
      <w:pPr>
        <w:pStyle w:val="12"/>
        <w:numPr>
          <w:ilvl w:val="0"/>
          <w:numId w:val="1"/>
        </w:numPr>
      </w:pPr>
      <w:r>
        <w:t xml:space="preserve">ОПИСАНИЕ ИПКВ ИТ</w:t>
      </w:r>
      <w:r/>
    </w:p>
    <w:p>
      <w:pPr>
        <w:pStyle w:val="14"/>
        <w:numPr>
          <w:ilvl w:val="1"/>
          <w:numId w:val="1"/>
        </w:numPr>
      </w:pPr>
      <w:r>
        <w:t xml:space="preserve">Объект вложения средств</w:t>
      </w:r>
      <w:r/>
    </w:p>
    <w:p>
      <w:r>
        <w:t xml:space="preserve">АО "Петербургская сбытовая компания"</w:t>
      </w:r>
      <w:r>
        <w:t xml:space="preserve">.</w:t>
      </w:r>
      <w:r/>
    </w:p>
    <w:p>
      <w:pPr>
        <w:rPr>
          <w:color w:val="000000"/>
        </w:rPr>
      </w:pPr>
      <w:r>
        <w:t xml:space="preserve">АО «Петербургская сбытовая компания». Импортозамещенные лицензии резервного копирования «Кибер Бэкап» (ПО) будут являться новыми НМА.</w:t>
      </w:r>
      <w:r>
        <w:rPr>
          <w:color w:val="000000"/>
        </w:rPr>
      </w:r>
    </w:p>
    <w:p>
      <w:pPr>
        <w:spacing w:before="283" w:after="283"/>
        <w:rPr>
          <w:b/>
          <w:bCs/>
        </w:rPr>
      </w:pPr>
      <w:r>
        <w:rPr>
          <w:b/>
          <w:bCs/>
        </w:rPr>
        <w:t xml:space="preserve">Инвентарные номера:</w:t>
      </w:r>
      <w:r>
        <w:rPr>
          <w:b/>
          <w:bCs/>
        </w:rPr>
      </w:r>
    </w:p>
    <w:p>
      <w:r/>
    </w:p>
    <w:p>
      <w:pPr>
        <w:pStyle w:val="14"/>
        <w:numPr>
          <w:ilvl w:val="1"/>
          <w:numId w:val="1"/>
        </w:numPr>
      </w:pPr>
      <w:r>
        <w:t xml:space="preserve">Предпосылки / необходимость реализации ИПКВ ИТ</w:t>
      </w:r>
      <w:r/>
    </w:p>
    <w:p>
      <w:pPr>
        <w:rPr>
          <w:color w:val="000000"/>
        </w:rPr>
      </w:pPr>
      <w:r>
        <w:t xml:space="preserve">В связи с расширением промышленной фермы виртуализации на базе РэдВиртуализация, требуется закупка дополнительных лицензий к системе резервного копирования КиберБэкап.</w:t>
      </w:r>
      <w:r>
        <w:rPr>
          <w:color w:val="000000"/>
        </w:rPr>
      </w:r>
    </w:p>
    <w:p>
      <w:pPr>
        <w:pStyle w:val="14"/>
        <w:numPr>
          <w:ilvl w:val="1"/>
          <w:numId w:val="1"/>
        </w:numPr>
      </w:pPr>
      <w:r>
        <w:t xml:space="preserve">Цель ИПКВ ИТ</w:t>
      </w:r>
      <w:r/>
    </w:p>
    <w:p>
      <w:pPr>
        <w:rPr>
          <w:color w:val="000000"/>
        </w:rPr>
      </w:pPr>
      <w:r>
        <w:t xml:space="preserve">Целью проекта является обеспечение импортонезависимости и бесперебойного функционирования инфраструктуры Общества на базе отечественного ПО.</w:t>
      </w:r>
      <w:r>
        <w:rPr>
          <w:color w:val="000000"/>
        </w:rPr>
      </w:r>
    </w:p>
    <w:p>
      <w:pPr>
        <w:pStyle w:val="14"/>
        <w:numPr>
          <w:ilvl w:val="1"/>
          <w:numId w:val="1"/>
        </w:numPr>
      </w:pPr>
      <w:r>
        <w:t xml:space="preserve">Технические решения ИПКВ ИТ</w:t>
      </w:r>
      <w:r/>
    </w:p>
    <w:p>
      <w:pPr>
        <w:rPr>
          <w:color w:val="000000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Кибер Бэкап – это комплексное решение для резервного копирования и восстановления данных с защитой от вирусов-шифровальщиков. Его можно интегрировать в ИТ-системы любого размера и использовать на предприятиях малого и крупного бизнеса, а также в государственных организациях.</w:t>
      </w:r>
      <w:r>
        <w:rPr>
          <w:color w:val="000000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Кибер Бэкап входит в реестр российского ПО и сертифицирован ФСТЭК.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Выбранные программные продукты соответствуют рекомендациям, выработанным лабораторией по импортозамещению ООО Интер РАО ИТ в рамках протокола ОШ/3 от 07.11.2022. 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В приобретаемые количество лицензий входит потребность для обеспечения резервным копированием текущих инфраструктурных ИС АО «Петербургская сбытовая компания», АО «ЕИРЦ», АО «ПЭС» в ЦО и внешнем датацентре. Учтена потребность в резервном копировании новых ИС.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14"/>
        <w:numPr>
          <w:ilvl w:val="1"/>
          <w:numId w:val="1"/>
        </w:numPr>
      </w:pPr>
      <w:r>
        <w:t xml:space="preserve">Дополнительная информация</w:t>
      </w:r>
      <w:r/>
    </w:p>
    <w:p>
      <w:pPr>
        <w:rPr>
          <w:color w:val="000000"/>
        </w:rPr>
      </w:pPr>
      <w:r>
        <w:t xml:space="preserve">Данный ИПКВ не включён в стратегические документы компании, и не связан с другими проектами.</w:t>
      </w:r>
      <w:r>
        <w:rPr>
          <w:color w:val="000000"/>
        </w:rPr>
      </w:r>
    </w:p>
    <w:p>
      <w:pPr>
        <w:pStyle w:val="12"/>
        <w:numPr>
          <w:ilvl w:val="0"/>
          <w:numId w:val="1"/>
        </w:numPr>
      </w:pPr>
      <w:r>
        <w:t xml:space="preserve">ОБЪЕМ, СРОКИ И ЗАТРАТЫ ИПКВ</w:t>
      </w:r>
      <w:r/>
    </w:p>
    <w:p>
      <w:pPr>
        <w:pStyle w:val="632"/>
      </w:pPr>
      <w:r>
        <w:t xml:space="preserve">Начало выполнения работ - 1 квартал 2026 г.</w:t>
      </w:r>
      <w:r/>
    </w:p>
    <w:p>
      <w:pPr>
        <w:pStyle w:val="632"/>
        <w:spacing w:before="57"/>
      </w:pPr>
      <w:r>
        <w:t xml:space="preserve">Завершение работ - 2 квартал 2026 г.</w:t>
      </w:r>
      <w:r/>
    </w:p>
    <w:p>
      <w:pPr>
        <w:pStyle w:val="632"/>
        <w:ind w:firstLine="0"/>
        <w:jc w:val="right"/>
        <w:spacing w:before="283" w:after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1.</w:t>
      </w:r>
      <w:r>
        <w:rPr>
          <w:b/>
          <w:bCs/>
          <w:sz w:val="22"/>
          <w:szCs w:val="22"/>
        </w:rPr>
      </w:r>
    </w:p>
    <w:p>
      <w:pPr>
        <w:pStyle w:val="632"/>
        <w:ind w:firstLine="0"/>
        <w:jc w:val="right"/>
        <w:spacing w:before="0" w:after="57"/>
        <w:rPr>
          <w:sz w:val="22"/>
          <w:szCs w:val="22"/>
        </w:rPr>
      </w:pPr>
      <w:r>
        <w:rPr>
          <w:sz w:val="22"/>
          <w:szCs w:val="22"/>
        </w:rPr>
        <w:t xml:space="preserve">Освоение: тыс. единиц национальной валюты без НДС</w:t>
      </w:r>
      <w:r>
        <w:rPr>
          <w:sz w:val="22"/>
          <w:szCs w:val="22"/>
        </w:rPr>
      </w:r>
    </w:p>
    <w:tbl>
      <w:tblPr>
        <w:tblStyle w:val="765"/>
        <w:tblW w:w="5000" w:type="pct"/>
        <w:jc w:val="center"/>
        <w:tblInd w:w="-567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</w:tblGrid>
      <w:tr>
        <w:trPr>
          <w:tblHeader/>
        </w:trPr>
        <w:tc>
          <w:tcPr>
            <w:shd w:val="clear" w:color="8c8c8c" w:fill="8c8c8c"/>
            <w:tcW w:w="454" w:type="dxa"/>
            <w:textDirection w:val="lrTb"/>
            <w:noWrap w:val="false"/>
          </w:tcPr>
          <w:p>
            <w:pPr>
              <w:pStyle w:val="766"/>
            </w:pPr>
            <w:r/>
            <w:r>
              <w:t xml:space="preserve">№</w:t>
            </w:r>
            <w:r/>
          </w:p>
        </w:tc>
        <w:tc>
          <w:tcPr>
            <w:shd w:val="clear" w:color="8c8c8c" w:fill="8c8c8c"/>
            <w:tcW w:w="1750" w:type="pct"/>
            <w:textDirection w:val="lrTb"/>
            <w:noWrap w:val="false"/>
          </w:tcPr>
          <w:p>
            <w:pPr>
              <w:pStyle w:val="766"/>
            </w:pPr>
            <w:r/>
            <w:r>
              <w:t xml:space="preserve">Статья затрат</w:t>
            </w:r>
            <w:r/>
          </w:p>
        </w:tc>
        <w:tc>
          <w:tcPr>
            <w:shd w:val="clear" w:color="8c8c8c" w:fill="8c8c8c"/>
            <w:textDirection w:val="lrTb"/>
            <w:noWrap w:val="false"/>
          </w:tcPr>
          <w:p>
            <w:pPr>
              <w:pStyle w:val="766"/>
            </w:pPr>
            <w:r/>
            <w:r>
              <w:t xml:space="preserve">2026</w:t>
            </w:r>
            <w:r/>
          </w:p>
        </w:tc>
        <w:tc>
          <w:tcPr>
            <w:shd w:val="clear" w:color="8c8c8c" w:fill="8c8c8c"/>
            <w:tcW w:w="1191" w:type="dxa"/>
            <w:textDirection w:val="lrTb"/>
            <w:noWrap w:val="false"/>
          </w:tcPr>
          <w:p>
            <w:pPr>
              <w:pStyle w:val="766"/>
            </w:pPr>
            <w:r/>
            <w:r>
              <w:t xml:space="preserve">Итого без НДС</w:t>
            </w:r>
            <w:r/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68"/>
            </w:pPr>
            <w:r/>
            <w:r>
              <w:t xml:space="preserve">1. Затраты, относящиеся на инвестиционную деятельность</w:t>
            </w:r>
            <w:r/>
          </w:p>
        </w:tc>
      </w:tr>
      <w:tr>
        <w:trPr/>
        <w:tc>
          <w:tcPr>
            <w:tcW w:w="454" w:type="dxa"/>
            <w:vMerge w:val="restart"/>
            <w:textDirection w:val="lrTb"/>
            <w:noWrap w:val="false"/>
          </w:tcPr>
          <w:p>
            <w:pPr>
              <w:pStyle w:val="768"/>
            </w:pPr>
            <w:r/>
            <w:r>
              <w:t xml:space="preserve">1.1.</w:t>
            </w:r>
            <w:r/>
          </w:p>
        </w:tc>
        <w:tc>
          <w:tcPr>
            <w:tcW w:w="1750" w:type="pct"/>
            <w:vMerge w:val="restart"/>
            <w:textDirection w:val="lrTb"/>
            <w:noWrap w:val="false"/>
          </w:tcPr>
          <w:p>
            <w:pPr>
              <w:pStyle w:val="768"/>
            </w:pPr>
            <w:r/>
            <w:r>
              <w:t xml:space="preserve">Прочие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767"/>
            </w:pPr>
            <w:r/>
            <w:r>
              <w:t xml:space="preserve">1 730</w:t>
            </w:r>
            <w:r/>
          </w:p>
        </w:tc>
        <w:tc>
          <w:tcPr>
            <w:tcW w:w="1191" w:type="dxa"/>
            <w:vMerge w:val="restart"/>
            <w:textDirection w:val="lrTb"/>
            <w:noWrap/>
          </w:tcPr>
          <w:p>
            <w:pPr>
              <w:pStyle w:val="767"/>
            </w:pPr>
            <w:r/>
            <w:r>
              <w:t xml:space="preserve">1 730</w:t>
            </w:r>
            <w:r/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68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67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1 730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767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1 730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68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2. Затраты, относящиеся на операционную деятельность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tcW w:w="454" w:type="dxa"/>
            <w:vMerge w:val="restart"/>
            <w:textDirection w:val="lrTb"/>
            <w:noWrap w:val="false"/>
          </w:tcPr>
          <w:p>
            <w:pPr>
              <w:pStyle w:val="768"/>
            </w:pPr>
            <w:r/>
            <w:r>
              <w:t xml:space="preserve">2.1.</w:t>
            </w:r>
            <w:r/>
          </w:p>
        </w:tc>
        <w:tc>
          <w:tcPr>
            <w:tcW w:w="1750" w:type="pct"/>
            <w:vMerge w:val="restart"/>
            <w:textDirection w:val="lrTb"/>
            <w:noWrap w:val="false"/>
          </w:tcPr>
          <w:p>
            <w:pPr>
              <w:pStyle w:val="768"/>
            </w:pPr>
            <w:r/>
            <w:r>
              <w:t xml:space="preserve">Прочие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767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2 008</w:t>
            </w:r>
            <w:r>
              <w:rPr>
                <w:b/>
                <w:bCs/>
              </w:rPr>
            </w:r>
          </w:p>
        </w:tc>
        <w:tc>
          <w:tcPr>
            <w:tcW w:w="1191" w:type="dxa"/>
            <w:vMerge w:val="restart"/>
            <w:textDirection w:val="lrTb"/>
            <w:noWrap/>
          </w:tcPr>
          <w:p>
            <w:pPr>
              <w:pStyle w:val="767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2 008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68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67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2 008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767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2 008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8c8c8c" w:fill="8c8c8c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68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 ПО ПРОЕКТУ: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vMerge w:val="restart"/>
            <w:textDirection w:val="lrTb"/>
            <w:noWrap/>
          </w:tcPr>
          <w:p>
            <w:pPr>
              <w:pStyle w:val="767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3 738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tcW w:w="1191" w:type="dxa"/>
            <w:vMerge w:val="restart"/>
            <w:textDirection w:val="lrTb"/>
            <w:noWrap/>
          </w:tcPr>
          <w:p>
            <w:pPr>
              <w:pStyle w:val="767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3 738</w:t>
            </w:r>
            <w:r>
              <w:rPr>
                <w:b/>
                <w:bCs/>
              </w:rPr>
            </w:r>
          </w:p>
        </w:tc>
      </w:tr>
    </w:tbl>
    <w:p>
      <w:r/>
    </w:p>
    <w:p>
      <w:pPr>
        <w:pStyle w:val="632"/>
        <w:ind w:firstLine="0"/>
        <w:jc w:val="right"/>
        <w:spacing w:before="283" w:after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2.</w:t>
      </w:r>
      <w:r>
        <w:rPr>
          <w:b/>
          <w:bCs/>
          <w:sz w:val="22"/>
          <w:szCs w:val="22"/>
        </w:rPr>
      </w:r>
    </w:p>
    <w:p>
      <w:pPr>
        <w:pStyle w:val="632"/>
        <w:ind w:firstLine="0"/>
        <w:jc w:val="right"/>
        <w:spacing w:before="0" w:after="57"/>
        <w:rPr>
          <w:sz w:val="22"/>
          <w:szCs w:val="22"/>
        </w:rPr>
      </w:pPr>
      <w:r>
        <w:rPr>
          <w:sz w:val="22"/>
          <w:szCs w:val="22"/>
        </w:rPr>
        <w:t xml:space="preserve">Финансирование: тыс. единиц национальной валюты с НДС</w:t>
      </w:r>
      <w:r>
        <w:rPr>
          <w:sz w:val="22"/>
          <w:szCs w:val="22"/>
        </w:rPr>
      </w:r>
    </w:p>
    <w:tbl>
      <w:tblPr>
        <w:tblStyle w:val="765"/>
        <w:tblW w:w="5000" w:type="pct"/>
        <w:jc w:val="center"/>
        <w:tblInd w:w="-567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</w:tblGrid>
      <w:tr>
        <w:trPr>
          <w:tblHeader/>
        </w:trPr>
        <w:tc>
          <w:tcPr>
            <w:shd w:val="clear" w:color="8c8c8c" w:fill="8c8c8c"/>
            <w:tcW w:w="454" w:type="dxa"/>
            <w:textDirection w:val="lrTb"/>
            <w:noWrap w:val="false"/>
          </w:tcPr>
          <w:p>
            <w:pPr>
              <w:pStyle w:val="766"/>
            </w:pPr>
            <w:r/>
            <w:r>
              <w:t xml:space="preserve">№</w:t>
            </w:r>
            <w:r/>
          </w:p>
        </w:tc>
        <w:tc>
          <w:tcPr>
            <w:shd w:val="clear" w:color="8c8c8c" w:fill="8c8c8c"/>
            <w:tcW w:w="1750" w:type="pct"/>
            <w:textDirection w:val="lrTb"/>
            <w:noWrap w:val="false"/>
          </w:tcPr>
          <w:p>
            <w:pPr>
              <w:pStyle w:val="766"/>
            </w:pPr>
            <w:r/>
            <w:r>
              <w:t xml:space="preserve">Статья затрат</w:t>
            </w:r>
            <w:r/>
          </w:p>
        </w:tc>
        <w:tc>
          <w:tcPr>
            <w:shd w:val="clear" w:color="8c8c8c" w:fill="8c8c8c"/>
            <w:textDirection w:val="lrTb"/>
            <w:noWrap w:val="false"/>
          </w:tcPr>
          <w:p>
            <w:pPr>
              <w:pStyle w:val="766"/>
            </w:pPr>
            <w:r/>
            <w:r>
              <w:t xml:space="preserve">2026</w:t>
            </w:r>
            <w:r/>
          </w:p>
        </w:tc>
        <w:tc>
          <w:tcPr>
            <w:shd w:val="clear" w:color="8c8c8c" w:fill="8c8c8c"/>
            <w:tcW w:w="1191" w:type="dxa"/>
            <w:textDirection w:val="lrTb"/>
            <w:noWrap w:val="false"/>
          </w:tcPr>
          <w:p>
            <w:pPr>
              <w:pStyle w:val="766"/>
            </w:pPr>
            <w:r/>
            <w:r>
              <w:t xml:space="preserve">Итого с НДС</w:t>
            </w:r>
            <w:r/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68"/>
            </w:pPr>
            <w:r/>
            <w:r>
              <w:t xml:space="preserve">1. Затраты, относящиеся на инвестиционную деятельность</w:t>
            </w:r>
            <w:r/>
          </w:p>
        </w:tc>
      </w:tr>
      <w:tr>
        <w:trPr/>
        <w:tc>
          <w:tcPr>
            <w:tcW w:w="454" w:type="dxa"/>
            <w:vMerge w:val="restart"/>
            <w:textDirection w:val="lrTb"/>
            <w:noWrap w:val="false"/>
          </w:tcPr>
          <w:p>
            <w:pPr>
              <w:pStyle w:val="768"/>
            </w:pPr>
            <w:r/>
            <w:r>
              <w:t xml:space="preserve">1.1.</w:t>
            </w:r>
            <w:r/>
          </w:p>
        </w:tc>
        <w:tc>
          <w:tcPr>
            <w:tcW w:w="1750" w:type="pct"/>
            <w:vMerge w:val="restart"/>
            <w:textDirection w:val="lrTb"/>
            <w:noWrap w:val="false"/>
          </w:tcPr>
          <w:p>
            <w:pPr>
              <w:pStyle w:val="768"/>
            </w:pPr>
            <w:r/>
            <w:r>
              <w:t xml:space="preserve">Прочие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767"/>
            </w:pPr>
            <w:r/>
            <w:r>
              <w:t xml:space="preserve">2 110</w:t>
            </w:r>
            <w:r/>
          </w:p>
        </w:tc>
        <w:tc>
          <w:tcPr>
            <w:tcW w:w="1191" w:type="dxa"/>
            <w:vMerge w:val="restart"/>
            <w:textDirection w:val="lrTb"/>
            <w:noWrap/>
          </w:tcPr>
          <w:p>
            <w:pPr>
              <w:pStyle w:val="767"/>
            </w:pPr>
            <w:r/>
            <w:r>
              <w:t xml:space="preserve">2 110</w:t>
            </w:r>
            <w:r/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68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67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2 110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767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2 110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68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2. Затраты, относящиеся на операционную деятельность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tcW w:w="454" w:type="dxa"/>
            <w:vMerge w:val="restart"/>
            <w:textDirection w:val="lrTb"/>
            <w:noWrap w:val="false"/>
          </w:tcPr>
          <w:p>
            <w:pPr>
              <w:pStyle w:val="768"/>
            </w:pPr>
            <w:r/>
            <w:r>
              <w:t xml:space="preserve">2.1.</w:t>
            </w:r>
            <w:r/>
          </w:p>
        </w:tc>
        <w:tc>
          <w:tcPr>
            <w:tcW w:w="1750" w:type="pct"/>
            <w:vMerge w:val="restart"/>
            <w:textDirection w:val="lrTb"/>
            <w:noWrap w:val="false"/>
          </w:tcPr>
          <w:p>
            <w:pPr>
              <w:pStyle w:val="768"/>
            </w:pPr>
            <w:r/>
            <w:r>
              <w:t xml:space="preserve">Прочие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767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2 410</w:t>
            </w:r>
            <w:r>
              <w:rPr>
                <w:b/>
                <w:bCs/>
              </w:rPr>
            </w:r>
          </w:p>
        </w:tc>
        <w:tc>
          <w:tcPr>
            <w:tcW w:w="1191" w:type="dxa"/>
            <w:vMerge w:val="restart"/>
            <w:textDirection w:val="lrTb"/>
            <w:noWrap/>
          </w:tcPr>
          <w:p>
            <w:pPr>
              <w:pStyle w:val="767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2 410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68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67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2 410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767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2 410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8c8c8c" w:fill="8c8c8c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68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 ПО ПРОЕКТУ: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vMerge w:val="restart"/>
            <w:textDirection w:val="lrTb"/>
            <w:noWrap/>
          </w:tcPr>
          <w:p>
            <w:pPr>
              <w:pStyle w:val="767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4 520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tcW w:w="1191" w:type="dxa"/>
            <w:vMerge w:val="restart"/>
            <w:textDirection w:val="lrTb"/>
            <w:noWrap/>
          </w:tcPr>
          <w:p>
            <w:pPr>
              <w:pStyle w:val="767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4 520</w:t>
            </w:r>
            <w:r>
              <w:rPr>
                <w:b/>
                <w:bCs/>
              </w:rPr>
            </w:r>
          </w:p>
        </w:tc>
      </w:tr>
    </w:tbl>
    <w:p>
      <w:r/>
    </w:p>
    <w:p>
      <w:pPr>
        <w:pStyle w:val="632"/>
        <w:ind w:firstLine="0"/>
        <w:jc w:val="right"/>
        <w:spacing w:before="283" w:after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3.</w:t>
      </w:r>
      <w:r>
        <w:rPr>
          <w:b/>
          <w:bCs/>
          <w:sz w:val="22"/>
          <w:szCs w:val="22"/>
        </w:rPr>
      </w:r>
    </w:p>
    <w:p>
      <w:pPr>
        <w:pStyle w:val="632"/>
        <w:ind w:firstLine="0"/>
        <w:jc w:val="right"/>
        <w:spacing w:before="0" w:after="57"/>
        <w:rPr>
          <w:sz w:val="22"/>
          <w:szCs w:val="22"/>
        </w:rPr>
      </w:pPr>
      <w:r>
        <w:rPr>
          <w:sz w:val="22"/>
          <w:szCs w:val="22"/>
        </w:rPr>
        <w:t xml:space="preserve">Ключевые контрольные точки</w:t>
      </w:r>
      <w:r>
        <w:rPr>
          <w:sz w:val="22"/>
          <w:szCs w:val="22"/>
        </w:rPr>
      </w:r>
    </w:p>
    <w:tbl>
      <w:tblPr>
        <w:tblStyle w:val="765"/>
        <w:tblW w:w="5000" w:type="pct"/>
        <w:jc w:val="center"/>
        <w:tblInd w:w="-567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</w:tblGrid>
      <w:tr>
        <w:trPr/>
        <w:tc>
          <w:tcPr>
            <w:gridSpan w:val="3"/>
            <w:textDirection w:val="lrTb"/>
            <w:noWrap w:val="false"/>
          </w:tcPr>
          <w:p>
            <w:pPr>
              <w:pStyle w:val="766"/>
            </w:pPr>
            <w:r/>
            <w:r>
              <w:t xml:space="preserve">КЛЮЧЕВЫЕ КОНТРОЛЬНЫЕ ТОЧКИ</w:t>
            </w:r>
            <w:r/>
          </w:p>
        </w:tc>
      </w:tr>
      <w:tr>
        <w:trPr/>
        <w:tc>
          <w:tcPr>
            <w:textDirection w:val="lrTb"/>
            <w:noWrap w:val="false"/>
          </w:tcPr>
          <w:p>
            <w:pPr>
              <w:pStyle w:val="766"/>
            </w:pPr>
            <w:r/>
            <w:r>
              <w:t xml:space="preserve">Название контрольной точки</w:t>
            </w:r>
            <w:r/>
          </w:p>
        </w:tc>
        <w:tc>
          <w:tcPr>
            <w:textDirection w:val="lrTb"/>
            <w:noWrap w:val="false"/>
          </w:tcPr>
          <w:p>
            <w:pPr>
              <w:pStyle w:val="766"/>
            </w:pPr>
            <w:r/>
            <w:r>
              <w:t xml:space="preserve">Ответственный</w:t>
            </w:r>
            <w:r/>
          </w:p>
        </w:tc>
        <w:tc>
          <w:tcPr>
            <w:textDirection w:val="lrTb"/>
            <w:noWrap w:val="false"/>
          </w:tcPr>
          <w:p>
            <w:pPr>
              <w:pStyle w:val="766"/>
            </w:pPr>
            <w:r/>
            <w:r>
              <w:t xml:space="preserve">Плановая дата</w:t>
            </w:r>
            <w:r/>
          </w:p>
        </w:tc>
      </w:tr>
    </w:tbl>
    <w:p>
      <w:r/>
    </w:p>
    <w:p>
      <w:pPr>
        <w:pStyle w:val="12"/>
        <w:numPr>
          <w:ilvl w:val="0"/>
          <w:numId w:val="1"/>
        </w:numPr>
      </w:pPr>
      <w:r>
        <w:t xml:space="preserve">КОНТАКТНОЕ ЛИЦО</w:t>
      </w:r>
      <w:r/>
    </w:p>
    <w:p>
      <w:pPr>
        <w:pStyle w:val="632"/>
        <w:spacing w:before="283" w:after="113"/>
      </w:pPr>
      <w:r>
        <w:t xml:space="preserve"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  <w:r/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liberation serif">
    <w:panose1 w:val="02020603050405020304"/>
  </w:font>
  <w:font w:name="Calibri">
    <w:panose1 w:val="020B0603020202020204"/>
  </w:font>
  <w:font w:name="Times New Roman">
    <w:panose1 w:val="02020603050405020304"/>
  </w:font>
  <w:font w:name="Cambria">
    <w:panose1 w:val="02060603050605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right"/>
    </w:pPr>
    <w:fldSimple w:instr="PAGE \* MERGEFORMAT">
      <w:r>
        <w:t xml:space="preserve">1</w:t>
      </w:r>
    </w:fldSimple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 "/>
      <w:lvlJc w:val="left"/>
      <w:pPr>
        <w:ind w:left="0" w:firstLine="0"/>
      </w:pPr>
    </w:lvl>
    <w:lvl w:ilvl="1">
      <w:start w:val="1"/>
      <w:numFmt w:val="decimal"/>
      <w:isLgl w:val="false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598"/>
    <w:next w:val="598"/>
    <w:link w:val="13"/>
    <w:uiPriority w:val="9"/>
    <w:qFormat/>
    <w:pPr>
      <w:ind w:left="142" w:firstLine="0"/>
      <w:keepLines/>
      <w:keepNext/>
      <w:spacing w:before="567" w:after="255" w:line="240" w:lineRule="auto"/>
      <w:outlineLvl w:val="0"/>
    </w:pPr>
    <w:rPr>
      <w:rFonts w:hint="default" w:ascii="Liberation Serif" w:hAnsi="Liberation Serif" w:eastAsia="Liberation Serif" w:cs="Liberation Serif"/>
      <w:b/>
      <w:sz w:val="28"/>
      <w:szCs w:val="40"/>
    </w:rPr>
  </w:style>
  <w:style w:type="character" w:styleId="13">
    <w:name w:val="Heading 1 Char"/>
    <w:basedOn w:val="10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598"/>
    <w:next w:val="598"/>
    <w:link w:val="15"/>
    <w:uiPriority w:val="9"/>
    <w:unhideWhenUsed/>
    <w:qFormat/>
    <w:pPr>
      <w:ind w:left="142" w:firstLine="0"/>
      <w:keepLines/>
      <w:keepNext/>
      <w:spacing w:before="482" w:after="198" w:line="140" w:lineRule="auto"/>
      <w:outlineLvl w:val="1"/>
    </w:pPr>
    <w:rPr>
      <w:rFonts w:hint="default" w:ascii="Liberation Serif" w:hAnsi="Liberation Serif" w:eastAsia="Liberation Serif" w:cs="Liberation Serif"/>
      <w:b/>
      <w:sz w:val="24"/>
    </w:rPr>
  </w:style>
  <w:style w:type="character" w:styleId="15">
    <w:name w:val="Heading 2 Char"/>
    <w:basedOn w:val="10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598"/>
    <w:next w:val="598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10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598"/>
    <w:next w:val="598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10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598"/>
    <w:next w:val="598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10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598"/>
    <w:next w:val="598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10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598"/>
    <w:next w:val="598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10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598"/>
    <w:next w:val="598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10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598"/>
    <w:next w:val="598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0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Title"/>
    <w:basedOn w:val="598"/>
    <w:next w:val="598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10"/>
    <w:link w:val="33"/>
    <w:uiPriority w:val="10"/>
    <w:rPr>
      <w:sz w:val="48"/>
      <w:szCs w:val="48"/>
    </w:rPr>
  </w:style>
  <w:style w:type="paragraph" w:styleId="35">
    <w:name w:val="Subtitle"/>
    <w:basedOn w:val="598"/>
    <w:next w:val="598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10"/>
    <w:link w:val="35"/>
    <w:uiPriority w:val="11"/>
    <w:rPr>
      <w:sz w:val="24"/>
      <w:szCs w:val="24"/>
    </w:rPr>
  </w:style>
  <w:style w:type="paragraph" w:styleId="37">
    <w:name w:val="Quote"/>
    <w:basedOn w:val="598"/>
    <w:next w:val="598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598"/>
    <w:next w:val="598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598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10"/>
    <w:link w:val="41"/>
    <w:uiPriority w:val="99"/>
  </w:style>
  <w:style w:type="paragraph" w:styleId="43">
    <w:name w:val="Footer"/>
    <w:basedOn w:val="59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10"/>
    <w:link w:val="43"/>
    <w:uiPriority w:val="99"/>
  </w:style>
  <w:style w:type="paragraph" w:styleId="45">
    <w:name w:val="Caption"/>
    <w:basedOn w:val="598"/>
    <w:next w:val="5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59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7">
    <w:name w:val="List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8">
    <w:name w:val="List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9">
    <w:name w:val="List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0">
    <w:name w:val="List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1">
    <w:name w:val="List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2">
    <w:name w:val="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4">
    <w:name w:val="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5">
    <w:name w:val="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6">
    <w:name w:val="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7">
    <w:name w:val="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8">
    <w:name w:val="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9">
    <w:name w:val="Bordered &amp; 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1">
    <w:name w:val="Bordered &amp; 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2">
    <w:name w:val="Bordered &amp; 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3">
    <w:name w:val="Bordered &amp; 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4">
    <w:name w:val="Bordered &amp; 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5">
    <w:name w:val="Bordered &amp; 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6">
    <w:name w:val="Bordered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598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10"/>
    <w:uiPriority w:val="99"/>
    <w:unhideWhenUsed/>
    <w:rPr>
      <w:vertAlign w:val="superscript"/>
    </w:rPr>
  </w:style>
  <w:style w:type="paragraph" w:styleId="177">
    <w:name w:val="endnote text"/>
    <w:basedOn w:val="598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0"/>
    <w:uiPriority w:val="99"/>
    <w:semiHidden/>
    <w:unhideWhenUsed/>
    <w:rPr>
      <w:vertAlign w:val="superscript"/>
    </w:rPr>
  </w:style>
  <w:style w:type="paragraph" w:styleId="180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qFormat/>
    <w:pPr>
      <w:ind w:firstLine="283"/>
      <w:spacing w:before="0" w:after="0" w:line="240" w:lineRule="auto"/>
    </w:pPr>
    <w:rPr>
      <w:rFonts w:hint="default" w:ascii="Liberation Serif" w:hAnsi="Liberation Serif" w:eastAsia="Liberation Serif" w:cs="Liberation Serif"/>
      <w:sz w:val="24"/>
    </w:rPr>
  </w:style>
  <w:style w:type="table" w:styleId="5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0" w:default="1">
    <w:name w:val="No List"/>
    <w:uiPriority w:val="99"/>
    <w:semiHidden/>
    <w:unhideWhenUsed/>
  </w:style>
  <w:style w:type="paragraph" w:styleId="601">
    <w:name w:val="No Spacing"/>
    <w:basedOn w:val="598"/>
    <w:uiPriority w:val="1"/>
    <w:qFormat/>
    <w:pPr>
      <w:spacing w:after="0" w:line="240" w:lineRule="auto"/>
    </w:pPr>
  </w:style>
  <w:style w:type="paragraph" w:styleId="602">
    <w:name w:val="List Paragraph"/>
    <w:basedOn w:val="598"/>
    <w:uiPriority w:val="34"/>
    <w:qFormat/>
    <w:pPr>
      <w:contextualSpacing/>
      <w:ind w:left="720"/>
    </w:pPr>
  </w:style>
  <w:style w:type="character" w:styleId="607" w:default="1">
    <w:name w:val="Default Paragraph Font"/>
    <w:uiPriority w:val="1"/>
    <w:semiHidden/>
    <w:unhideWhenUsed/>
  </w:style>
  <w:style w:type="paragraph" w:styleId="632">
    <w:name w:val="Normal paragraph"/>
    <w:basedOn w:val="598"/>
    <w:uiPriority w:val="1"/>
    <w:qFormat/>
    <w:pPr>
      <w:spacing w:before="170"/>
    </w:pPr>
  </w:style>
  <w:style w:type="table" w:styleId="765">
    <w:name w:val="Таблица 1"/>
    <w:uiPriority w:val="1"/>
    <w:qFormat/>
    <w:tblPr>
      <w:tblInd w:w="0" w:type="dxa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tcMar>
        <w:left w:w="85" w:type="dxa"/>
        <w:top w:w="91" w:type="dxa"/>
        <w:right w:w="85" w:type="dxa"/>
        <w:bottom w:w="91" w:type="dxa"/>
      </w:tcMar>
      <w:vAlign w:val="center"/>
    </w:tcPr>
  </w:style>
  <w:style w:type="paragraph" w:styleId="766">
    <w:name w:val="Таблица 1. Заголовок"/>
    <w:uiPriority w:val="1"/>
    <w:qFormat/>
    <w:pPr>
      <w:ind w:left="0" w:right="0"/>
      <w:jc w:val="center"/>
      <w:spacing w:after="0" w:line="240" w:lineRule="auto"/>
    </w:pPr>
    <w:rPr>
      <w:rFonts w:hint="default" w:ascii="Liberation Serif" w:hAnsi="Liberation Serif" w:eastAsia="Liberation Serif" w:cs="Liberation Serif"/>
      <w:b/>
      <w:sz w:val="20"/>
    </w:rPr>
  </w:style>
  <w:style w:type="paragraph" w:styleId="767">
    <w:name w:val="Таблица 1. Число"/>
    <w:basedOn w:val="766"/>
    <w:uiPriority w:val="1"/>
    <w:qFormat/>
    <w:pPr>
      <w:jc w:val="right"/>
    </w:pPr>
    <w:rPr/>
  </w:style>
  <w:style w:type="paragraph" w:styleId="768">
    <w:name w:val="Таблица 1. Строка"/>
    <w:basedOn w:val="766"/>
    <w:uiPriority w:val="1"/>
    <w:qFormat/>
    <w:pPr>
      <w:jc w:val="left"/>
    </w:pPr>
    <w:r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ONLYOFFICE/7.2.0.134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2026-03-18T07:46:55Z</dcterms:modified>
</cp:coreProperties>
</file>